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412936" w:rsidRDefault="003154A2" w:rsidP="00412936">
      <w:pPr>
        <w:spacing w:before="120" w:after="120" w:line="360" w:lineRule="auto"/>
        <w:jc w:val="center"/>
        <w:rPr>
          <w:rFonts w:ascii="Arial" w:hAnsi="Arial" w:cs="Arial"/>
          <w:sz w:val="28"/>
          <w:szCs w:val="28"/>
        </w:rPr>
      </w:pPr>
      <w:r w:rsidRPr="00412936">
        <w:rPr>
          <w:rFonts w:ascii="Arial" w:hAnsi="Arial" w:cs="Arial"/>
          <w:b/>
          <w:sz w:val="28"/>
          <w:szCs w:val="28"/>
        </w:rPr>
        <w:t xml:space="preserve">PROGRAMA </w:t>
      </w:r>
      <w:r w:rsidR="0081752E" w:rsidRPr="00412936">
        <w:rPr>
          <w:rFonts w:ascii="Arial" w:hAnsi="Arial" w:cs="Arial"/>
          <w:b/>
          <w:sz w:val="28"/>
          <w:szCs w:val="28"/>
        </w:rPr>
        <w:t>42</w:t>
      </w:r>
      <w:r w:rsidR="006C54B9" w:rsidRPr="00412936">
        <w:rPr>
          <w:rFonts w:ascii="Arial" w:hAnsi="Arial" w:cs="Arial"/>
          <w:b/>
          <w:sz w:val="28"/>
          <w:szCs w:val="28"/>
        </w:rPr>
        <w:t>B</w:t>
      </w:r>
      <w:r w:rsidR="009505E7" w:rsidRPr="00412936">
        <w:rPr>
          <w:rFonts w:ascii="Arial" w:hAnsi="Arial" w:cs="Arial"/>
          <w:b/>
          <w:sz w:val="28"/>
          <w:szCs w:val="28"/>
        </w:rPr>
        <w:t>D</w:t>
      </w:r>
    </w:p>
    <w:p w:rsidR="003154A2" w:rsidRPr="00412936" w:rsidRDefault="00C53DF1" w:rsidP="00412936">
      <w:pPr>
        <w:spacing w:before="120" w:after="120" w:line="360" w:lineRule="auto"/>
        <w:jc w:val="center"/>
        <w:rPr>
          <w:rFonts w:ascii="Arial" w:hAnsi="Arial" w:cs="Arial"/>
          <w:b/>
          <w:sz w:val="26"/>
          <w:szCs w:val="26"/>
        </w:rPr>
      </w:pPr>
      <w:r w:rsidRPr="00412936">
        <w:rPr>
          <w:rFonts w:ascii="Arial" w:hAnsi="Arial" w:cs="Arial"/>
          <w:b/>
          <w:sz w:val="26"/>
          <w:szCs w:val="26"/>
        </w:rPr>
        <w:t>C02</w:t>
      </w:r>
      <w:r w:rsidR="00A25916" w:rsidRPr="00412936">
        <w:rPr>
          <w:rFonts w:ascii="Arial" w:hAnsi="Arial" w:cs="Arial"/>
          <w:b/>
          <w:sz w:val="26"/>
          <w:szCs w:val="26"/>
        </w:rPr>
        <w:t>.</w:t>
      </w:r>
      <w:r w:rsidRPr="00412936">
        <w:rPr>
          <w:rFonts w:ascii="Arial" w:hAnsi="Arial" w:cs="Arial"/>
          <w:b/>
          <w:sz w:val="26"/>
          <w:szCs w:val="26"/>
        </w:rPr>
        <w:t xml:space="preserve">I04 </w:t>
      </w:r>
      <w:r w:rsidR="002E21DD" w:rsidRPr="00412936">
        <w:rPr>
          <w:rFonts w:ascii="Arial" w:hAnsi="Arial" w:cs="Arial"/>
          <w:b/>
          <w:sz w:val="26"/>
          <w:szCs w:val="26"/>
        </w:rPr>
        <w:t>PROGRAMA DE REGENERACIÓN Y RETO DEMOGRÁFICO</w:t>
      </w:r>
    </w:p>
    <w:p w:rsidR="00517824" w:rsidRPr="00517824" w:rsidRDefault="00517824" w:rsidP="00412936">
      <w:pPr>
        <w:spacing w:before="120" w:after="120" w:line="360" w:lineRule="auto"/>
        <w:rPr>
          <w:rFonts w:ascii="Arial" w:hAnsi="Arial" w:cs="Arial"/>
          <w:b/>
          <w:sz w:val="22"/>
          <w:szCs w:val="22"/>
        </w:rPr>
      </w:pPr>
      <w:r w:rsidRPr="00517824">
        <w:rPr>
          <w:rFonts w:ascii="Arial" w:hAnsi="Arial" w:cs="Arial"/>
          <w:b/>
          <w:sz w:val="22"/>
          <w:szCs w:val="22"/>
        </w:rPr>
        <w:t xml:space="preserve">1. </w:t>
      </w:r>
      <w:r w:rsidR="002E21DD" w:rsidRPr="00517824">
        <w:rPr>
          <w:rFonts w:ascii="Arial" w:hAnsi="Arial" w:cs="Arial"/>
          <w:b/>
          <w:sz w:val="22"/>
          <w:szCs w:val="22"/>
        </w:rPr>
        <w:t xml:space="preserve">DENOMINACIÓN DEL COMPONENTE </w:t>
      </w:r>
    </w:p>
    <w:p w:rsidR="00517824" w:rsidRPr="00517824" w:rsidRDefault="002E21DD" w:rsidP="00412936">
      <w:pPr>
        <w:spacing w:before="120" w:after="120" w:line="360" w:lineRule="auto"/>
        <w:ind w:firstLine="708"/>
        <w:jc w:val="both"/>
        <w:rPr>
          <w:rFonts w:ascii="Arial" w:hAnsi="Arial" w:cs="Arial"/>
          <w:sz w:val="22"/>
          <w:szCs w:val="22"/>
        </w:rPr>
      </w:pPr>
      <w:r w:rsidRPr="002E21DD">
        <w:rPr>
          <w:rFonts w:ascii="Arial" w:hAnsi="Arial" w:cs="Arial"/>
          <w:sz w:val="22"/>
          <w:szCs w:val="22"/>
        </w:rPr>
        <w:t>Implementación de la Agenda Urbana española: Plan de rehabilitación y regeneración urbana</w:t>
      </w:r>
      <w:r w:rsidR="003F238A" w:rsidRPr="003F238A">
        <w:rPr>
          <w:rFonts w:ascii="Arial" w:hAnsi="Arial" w:cs="Arial"/>
          <w:sz w:val="22"/>
          <w:szCs w:val="22"/>
        </w:rPr>
        <w:t xml:space="preserve">. </w:t>
      </w:r>
    </w:p>
    <w:p w:rsidR="00517824" w:rsidRPr="00517824" w:rsidRDefault="00517824" w:rsidP="00412936">
      <w:pPr>
        <w:spacing w:before="120" w:after="120" w:line="360" w:lineRule="auto"/>
        <w:rPr>
          <w:rFonts w:ascii="Arial" w:hAnsi="Arial" w:cs="Arial"/>
          <w:b/>
          <w:sz w:val="22"/>
          <w:szCs w:val="22"/>
        </w:rPr>
      </w:pPr>
      <w:r w:rsidRPr="00517824">
        <w:rPr>
          <w:rFonts w:ascii="Arial" w:hAnsi="Arial" w:cs="Arial"/>
          <w:b/>
          <w:sz w:val="22"/>
          <w:szCs w:val="22"/>
        </w:rPr>
        <w:t xml:space="preserve">2. </w:t>
      </w:r>
      <w:r w:rsidR="002E21DD" w:rsidRPr="00517824">
        <w:rPr>
          <w:rFonts w:ascii="Arial" w:hAnsi="Arial" w:cs="Arial"/>
          <w:b/>
          <w:sz w:val="22"/>
          <w:szCs w:val="22"/>
        </w:rPr>
        <w:t>DESCRIPCIÓN GENERAL DEL COMPONENTE</w:t>
      </w:r>
    </w:p>
    <w:p w:rsidR="003F238A" w:rsidRP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Impulsar la implementación de la Agenda Urbana Española y, de forma específica, la actividad de rehabilitación como pieza clave en la reactivación del sector de la construcción e inmobiliario y en el cumplimiento de los compromisos europeos y nacionales en materia de energía, clima y digitalización, con una enorme potencialidad, tanto por las condiciones de antigüedad y conservación del parque edificatorio, como por su capacidad de creación de puestos de trabajo. De esta forma, se plantea un crecimiento de la actividad de rehabilitación que, al menos, duplicará el nivel de producción actual, en el marco temporal del Plan.</w:t>
      </w:r>
    </w:p>
    <w:p w:rsidR="003F238A" w:rsidRP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 xml:space="preserve">En este marco, el componente busca, en el marco de implementación de la Agenda Urbana, cumplir los principios clave de la </w:t>
      </w:r>
      <w:proofErr w:type="spellStart"/>
      <w:r w:rsidRPr="003F238A">
        <w:rPr>
          <w:rFonts w:ascii="Arial" w:hAnsi="Arial" w:cs="Arial"/>
          <w:sz w:val="22"/>
          <w:szCs w:val="22"/>
        </w:rPr>
        <w:t>Renovation</w:t>
      </w:r>
      <w:proofErr w:type="spellEnd"/>
      <w:r w:rsidRPr="003F238A">
        <w:rPr>
          <w:rFonts w:ascii="Arial" w:hAnsi="Arial" w:cs="Arial"/>
          <w:sz w:val="22"/>
          <w:szCs w:val="22"/>
        </w:rPr>
        <w:t xml:space="preserve"> Wave a través de sus programas: la eficiencia energética, lo primero; asequibilidad; </w:t>
      </w:r>
      <w:proofErr w:type="spellStart"/>
      <w:r w:rsidRPr="003F238A">
        <w:rPr>
          <w:rFonts w:ascii="Arial" w:hAnsi="Arial" w:cs="Arial"/>
          <w:sz w:val="22"/>
          <w:szCs w:val="22"/>
        </w:rPr>
        <w:t>descarbonización</w:t>
      </w:r>
      <w:proofErr w:type="spellEnd"/>
      <w:r w:rsidRPr="003F238A">
        <w:rPr>
          <w:rFonts w:ascii="Arial" w:hAnsi="Arial" w:cs="Arial"/>
          <w:sz w:val="22"/>
          <w:szCs w:val="22"/>
        </w:rPr>
        <w:t xml:space="preserve"> e integración de renovables; ciclo de vida y circularidad; elevados niveles ambientales y de salud; las transiciones ecológica y digital; y el respeto por la estética y calidad arquitectónica.</w:t>
      </w:r>
    </w:p>
    <w:p w:rsidR="003F238A" w:rsidRP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Además, se considera de forma transversal la importancia de la digitalización del sector edificatorio, y se valorará la adopción del indicador de preparación para aplicaciones inteligentes de los edificios.</w:t>
      </w:r>
    </w:p>
    <w:p w:rsid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 xml:space="preserve">Adicionalmente, en el contexto del Reto Demográfico, el objetivo de la inversión dirigida a pequeños municipios es complementar el atractivo inherente de los municipios pequeños con una propuesta de valor para familias, así como empresas nuevas o existentes, consistente en la disponibilidad de energía 100% renovable, generando competitividad tanto en precio (aprovechando los ahorros que supone la generación de energía renovable eléctrica y térmica) como en valor de marca sostenible y calidad de vida para los ciudadanos. La participación de las Entidades Locales, individual o conjuntamente con agentes privados, empresas y ciudadanos, en proyectos de economía baja en carbono favorecerá la mejor integración de nuevas infraestructuras energéticas en el territorio, en un nuevo modelo energético descentralizado y </w:t>
      </w:r>
      <w:proofErr w:type="spellStart"/>
      <w:r w:rsidRPr="003F238A">
        <w:rPr>
          <w:rFonts w:ascii="Arial" w:hAnsi="Arial" w:cs="Arial"/>
          <w:sz w:val="22"/>
          <w:szCs w:val="22"/>
        </w:rPr>
        <w:t>descarbonizado</w:t>
      </w:r>
      <w:proofErr w:type="spellEnd"/>
      <w:r w:rsidRPr="003F238A">
        <w:rPr>
          <w:rFonts w:ascii="Arial" w:hAnsi="Arial" w:cs="Arial"/>
          <w:sz w:val="22"/>
          <w:szCs w:val="22"/>
        </w:rPr>
        <w:t xml:space="preserve"> en 2050. El Plan permite avanzar también en el desarrollo de figuras como las Comunidades de Energías </w:t>
      </w:r>
      <w:r w:rsidRPr="003F238A">
        <w:rPr>
          <w:rFonts w:ascii="Arial" w:hAnsi="Arial" w:cs="Arial"/>
          <w:sz w:val="22"/>
          <w:szCs w:val="22"/>
        </w:rPr>
        <w:lastRenderedPageBreak/>
        <w:t>Renovables, que pueden constituirse en uno de los posibles mecanismos de participación para hacer efectivas las inversiones.</w:t>
      </w:r>
    </w:p>
    <w:p w:rsidR="00517824" w:rsidRPr="00517824" w:rsidRDefault="00517824" w:rsidP="00412936">
      <w:pPr>
        <w:spacing w:before="120" w:after="120" w:line="360" w:lineRule="auto"/>
        <w:rPr>
          <w:rFonts w:ascii="Arial" w:hAnsi="Arial" w:cs="Arial"/>
          <w:b/>
          <w:sz w:val="22"/>
          <w:szCs w:val="22"/>
        </w:rPr>
      </w:pPr>
      <w:r w:rsidRPr="00517824">
        <w:rPr>
          <w:rFonts w:ascii="Arial" w:hAnsi="Arial" w:cs="Arial"/>
          <w:b/>
          <w:sz w:val="22"/>
          <w:szCs w:val="22"/>
        </w:rPr>
        <w:t xml:space="preserve">3. </w:t>
      </w:r>
      <w:r w:rsidR="002E21DD" w:rsidRPr="00517824">
        <w:rPr>
          <w:rFonts w:ascii="Arial" w:hAnsi="Arial" w:cs="Arial"/>
          <w:b/>
          <w:sz w:val="22"/>
          <w:szCs w:val="22"/>
        </w:rPr>
        <w:t>PRINCIPALES OBJETIVOS DEL COMPONENTE</w:t>
      </w:r>
    </w:p>
    <w:p w:rsid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 xml:space="preserve">En cuanto a la contribución a los </w:t>
      </w:r>
      <w:r w:rsidR="00F461E1">
        <w:rPr>
          <w:rFonts w:ascii="Arial" w:hAnsi="Arial" w:cs="Arial"/>
          <w:sz w:val="22"/>
          <w:szCs w:val="22"/>
        </w:rPr>
        <w:t>“</w:t>
      </w:r>
      <w:proofErr w:type="spellStart"/>
      <w:r w:rsidRPr="003F238A">
        <w:rPr>
          <w:rFonts w:ascii="Arial" w:hAnsi="Arial" w:cs="Arial"/>
          <w:sz w:val="22"/>
          <w:szCs w:val="22"/>
        </w:rPr>
        <w:t>flagship</w:t>
      </w:r>
      <w:proofErr w:type="spellEnd"/>
      <w:r w:rsidR="00F461E1">
        <w:rPr>
          <w:rFonts w:ascii="Arial" w:hAnsi="Arial" w:cs="Arial"/>
          <w:sz w:val="22"/>
          <w:szCs w:val="22"/>
        </w:rPr>
        <w:t>”</w:t>
      </w:r>
      <w:r w:rsidRPr="003F238A">
        <w:rPr>
          <w:rFonts w:ascii="Arial" w:hAnsi="Arial" w:cs="Arial"/>
          <w:sz w:val="22"/>
          <w:szCs w:val="22"/>
        </w:rPr>
        <w:t xml:space="preserve"> o iniciativas bandera, en consecuencia, este componente busca contribuir a las iniciativas </w:t>
      </w:r>
      <w:proofErr w:type="spellStart"/>
      <w:r w:rsidRPr="003F238A">
        <w:rPr>
          <w:rFonts w:ascii="Arial" w:hAnsi="Arial" w:cs="Arial"/>
          <w:sz w:val="22"/>
          <w:szCs w:val="22"/>
        </w:rPr>
        <w:t>Power</w:t>
      </w:r>
      <w:proofErr w:type="spellEnd"/>
      <w:r w:rsidRPr="003F238A">
        <w:rPr>
          <w:rFonts w:ascii="Arial" w:hAnsi="Arial" w:cs="Arial"/>
          <w:sz w:val="22"/>
          <w:szCs w:val="22"/>
        </w:rPr>
        <w:t xml:space="preserve"> Up, en la integración de renovables en la edificación; </w:t>
      </w:r>
      <w:proofErr w:type="spellStart"/>
      <w:r w:rsidRPr="003F238A">
        <w:rPr>
          <w:rFonts w:ascii="Arial" w:hAnsi="Arial" w:cs="Arial"/>
          <w:sz w:val="22"/>
          <w:szCs w:val="22"/>
        </w:rPr>
        <w:t>Renovate</w:t>
      </w:r>
      <w:proofErr w:type="spellEnd"/>
      <w:r w:rsidRPr="003F238A">
        <w:rPr>
          <w:rFonts w:ascii="Arial" w:hAnsi="Arial" w:cs="Arial"/>
          <w:sz w:val="22"/>
          <w:szCs w:val="22"/>
        </w:rPr>
        <w:t xml:space="preserve">, contribuyendo a duplicar el ritmo de renovación de edificios; y </w:t>
      </w:r>
      <w:proofErr w:type="spellStart"/>
      <w:r w:rsidRPr="003F238A">
        <w:rPr>
          <w:rFonts w:ascii="Arial" w:hAnsi="Arial" w:cs="Arial"/>
          <w:sz w:val="22"/>
          <w:szCs w:val="22"/>
        </w:rPr>
        <w:t>Recharge</w:t>
      </w:r>
      <w:proofErr w:type="spellEnd"/>
      <w:r w:rsidRPr="003F238A">
        <w:rPr>
          <w:rFonts w:ascii="Arial" w:hAnsi="Arial" w:cs="Arial"/>
          <w:sz w:val="22"/>
          <w:szCs w:val="22"/>
        </w:rPr>
        <w:t xml:space="preserve"> and </w:t>
      </w:r>
      <w:proofErr w:type="spellStart"/>
      <w:r w:rsidRPr="003F238A">
        <w:rPr>
          <w:rFonts w:ascii="Arial" w:hAnsi="Arial" w:cs="Arial"/>
          <w:sz w:val="22"/>
          <w:szCs w:val="22"/>
        </w:rPr>
        <w:t>refuel</w:t>
      </w:r>
      <w:proofErr w:type="spellEnd"/>
      <w:r w:rsidRPr="003F238A">
        <w:rPr>
          <w:rFonts w:ascii="Arial" w:hAnsi="Arial" w:cs="Arial"/>
          <w:sz w:val="22"/>
          <w:szCs w:val="22"/>
        </w:rPr>
        <w:t>, entendiendo la contribución a la movilidad eléctrica como parte integral de la visión del edificio</w:t>
      </w:r>
      <w:r w:rsidR="002E21DD">
        <w:rPr>
          <w:rFonts w:ascii="Arial" w:hAnsi="Arial" w:cs="Arial"/>
          <w:sz w:val="22"/>
          <w:szCs w:val="22"/>
        </w:rPr>
        <w:t>.</w:t>
      </w:r>
    </w:p>
    <w:p w:rsidR="00517824" w:rsidRPr="00517824" w:rsidRDefault="00517824" w:rsidP="00412936">
      <w:pPr>
        <w:spacing w:before="120" w:after="120" w:line="360" w:lineRule="auto"/>
        <w:rPr>
          <w:rFonts w:ascii="Arial" w:hAnsi="Arial" w:cs="Arial"/>
          <w:b/>
          <w:sz w:val="22"/>
          <w:szCs w:val="22"/>
        </w:rPr>
      </w:pPr>
      <w:r w:rsidRPr="00517824">
        <w:rPr>
          <w:rFonts w:ascii="Arial" w:hAnsi="Arial" w:cs="Arial"/>
          <w:b/>
          <w:sz w:val="22"/>
          <w:szCs w:val="22"/>
        </w:rPr>
        <w:t xml:space="preserve">4. </w:t>
      </w:r>
      <w:r w:rsidR="002E21DD" w:rsidRPr="00517824">
        <w:rPr>
          <w:rFonts w:ascii="Arial" w:hAnsi="Arial" w:cs="Arial"/>
          <w:b/>
          <w:sz w:val="22"/>
          <w:szCs w:val="22"/>
        </w:rPr>
        <w:t>DESCRIPCIÓN DE LA INVERSIÓN</w:t>
      </w:r>
    </w:p>
    <w:p w:rsidR="003F238A" w:rsidRP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El programa 42BD “C02.I04 Programa de regeneración y reto demográfico” asume diversas líneas de actuación para la realización de inversiones y/o ayudas en materia de Transición Energética dentro de las competencias de la Secretaría de Estado de Energía, de forma coordinada del Instituto para la Diversificación y Ahorro de la Energía (IDAE).</w:t>
      </w:r>
    </w:p>
    <w:p w:rsidR="003F238A" w:rsidRP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 xml:space="preserve">La movilización de estos fondos se realizará bien a través de actuaciones de ayudas y subvenciones a fondo perdido o bien mediante inversiones financieras, en función de las características y necesidades de cada segmento del sector energético objeto de las inversiones, así como de los criterios fijados por el Marco de Recuperación y Resiliencia. </w:t>
      </w:r>
    </w:p>
    <w:p w:rsidR="003F238A" w:rsidRPr="003F238A"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En todo caso, las actuaciones estarán en relación directa con la incentivación de la rehabilitación energética de edificios.</w:t>
      </w:r>
    </w:p>
    <w:p w:rsidR="00F77318"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 xml:space="preserve">Con ello se pretende implementar las medidas prevista en el PNIEC para la gestión de incentivos públicos y el dar cumplimiento a los objetivos establecidos para el 2030: eficiencia energética, </w:t>
      </w:r>
      <w:proofErr w:type="spellStart"/>
      <w:r w:rsidRPr="003F238A">
        <w:rPr>
          <w:rFonts w:ascii="Arial" w:hAnsi="Arial" w:cs="Arial"/>
          <w:sz w:val="22"/>
          <w:szCs w:val="22"/>
        </w:rPr>
        <w:t>descarbonización</w:t>
      </w:r>
      <w:proofErr w:type="spellEnd"/>
      <w:r w:rsidRPr="003F238A">
        <w:rPr>
          <w:rFonts w:ascii="Arial" w:hAnsi="Arial" w:cs="Arial"/>
          <w:sz w:val="22"/>
          <w:szCs w:val="22"/>
        </w:rPr>
        <w:t xml:space="preserve"> y energías renovables.</w:t>
      </w:r>
    </w:p>
    <w:p w:rsidR="00517824" w:rsidRPr="00517824" w:rsidRDefault="00517824" w:rsidP="00412936">
      <w:pPr>
        <w:spacing w:before="120" w:after="120" w:line="360" w:lineRule="auto"/>
        <w:rPr>
          <w:rFonts w:ascii="Arial" w:hAnsi="Arial" w:cs="Arial"/>
          <w:b/>
          <w:sz w:val="22"/>
          <w:szCs w:val="22"/>
        </w:rPr>
      </w:pPr>
      <w:r w:rsidRPr="00517824">
        <w:rPr>
          <w:rFonts w:ascii="Arial" w:hAnsi="Arial" w:cs="Arial"/>
          <w:b/>
          <w:sz w:val="22"/>
          <w:szCs w:val="22"/>
        </w:rPr>
        <w:t xml:space="preserve">5. </w:t>
      </w:r>
      <w:r w:rsidR="002E21DD" w:rsidRPr="00517824">
        <w:rPr>
          <w:rFonts w:ascii="Arial" w:hAnsi="Arial" w:cs="Arial"/>
          <w:b/>
          <w:sz w:val="22"/>
          <w:szCs w:val="22"/>
        </w:rPr>
        <w:t>COSTE DE LA INVERSIÓN Y DISTRIBUCIÓN ANUALIZADA</w:t>
      </w:r>
      <w:bookmarkStart w:id="0" w:name="_GoBack"/>
      <w:bookmarkEnd w:id="0"/>
    </w:p>
    <w:p w:rsidR="00CA36F1" w:rsidRPr="00412936" w:rsidRDefault="00EF19E2" w:rsidP="00412936">
      <w:pPr>
        <w:spacing w:before="100"/>
        <w:ind w:right="141"/>
        <w:jc w:val="right"/>
        <w:rPr>
          <w:rFonts w:ascii="Arial" w:hAnsi="Arial" w:cs="Arial"/>
          <w:b/>
          <w:sz w:val="18"/>
          <w:szCs w:val="18"/>
        </w:rPr>
      </w:pPr>
      <w:r>
        <w:rPr>
          <w:rFonts w:ascii="Arial" w:hAnsi="Arial" w:cs="Arial"/>
          <w:b/>
          <w:sz w:val="18"/>
          <w:szCs w:val="18"/>
        </w:rPr>
        <w:t>(M</w:t>
      </w:r>
      <w:r w:rsidR="00CA36F1" w:rsidRPr="00412936">
        <w:rPr>
          <w:rFonts w:ascii="Arial" w:hAnsi="Arial" w:cs="Arial"/>
          <w:b/>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25"/>
        <w:gridCol w:w="807"/>
        <w:gridCol w:w="807"/>
        <w:gridCol w:w="806"/>
        <w:gridCol w:w="806"/>
        <w:gridCol w:w="806"/>
        <w:gridCol w:w="806"/>
        <w:gridCol w:w="806"/>
        <w:gridCol w:w="806"/>
      </w:tblGrid>
      <w:tr w:rsidR="00517824" w:rsidRPr="00412936" w:rsidTr="00412936">
        <w:trPr>
          <w:trHeight w:val="337"/>
          <w:tblHeader/>
          <w:jc w:val="center"/>
        </w:trPr>
        <w:tc>
          <w:tcPr>
            <w:tcW w:w="2379" w:type="dxa"/>
            <w:vAlign w:val="center"/>
          </w:tcPr>
          <w:p w:rsidR="00517824" w:rsidRPr="00412936" w:rsidRDefault="00517824" w:rsidP="00412936">
            <w:pPr>
              <w:spacing w:before="120" w:after="120"/>
              <w:ind w:left="31"/>
              <w:jc w:val="center"/>
              <w:rPr>
                <w:rFonts w:ascii="Arial" w:hAnsi="Arial" w:cs="Arial"/>
                <w:b/>
                <w:caps/>
                <w:sz w:val="18"/>
                <w:szCs w:val="18"/>
              </w:rPr>
            </w:pPr>
            <w:r w:rsidRPr="00412936">
              <w:rPr>
                <w:rFonts w:ascii="Arial" w:hAnsi="Arial" w:cs="Arial"/>
                <w:b/>
                <w:caps/>
                <w:sz w:val="18"/>
                <w:szCs w:val="18"/>
              </w:rPr>
              <w:t>Periodificación</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2020</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2021</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2022</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2023</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2024</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2025</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2026</w:t>
            </w:r>
          </w:p>
        </w:tc>
        <w:tc>
          <w:tcPr>
            <w:tcW w:w="851" w:type="dxa"/>
            <w:vAlign w:val="center"/>
          </w:tcPr>
          <w:p w:rsidR="00517824" w:rsidRPr="00412936" w:rsidRDefault="00517824" w:rsidP="00412936">
            <w:pPr>
              <w:spacing w:before="120" w:after="120"/>
              <w:ind w:left="-83"/>
              <w:jc w:val="center"/>
              <w:rPr>
                <w:rFonts w:ascii="Arial" w:hAnsi="Arial" w:cs="Arial"/>
                <w:b/>
                <w:sz w:val="18"/>
                <w:szCs w:val="18"/>
              </w:rPr>
            </w:pPr>
            <w:r w:rsidRPr="00412936">
              <w:rPr>
                <w:rFonts w:ascii="Arial" w:hAnsi="Arial" w:cs="Arial"/>
                <w:b/>
                <w:sz w:val="18"/>
                <w:szCs w:val="18"/>
              </w:rPr>
              <w:t>Total</w:t>
            </w:r>
          </w:p>
        </w:tc>
      </w:tr>
      <w:tr w:rsidR="00517824" w:rsidRPr="00412936" w:rsidTr="00412936">
        <w:trPr>
          <w:trHeight w:hRule="exact" w:val="340"/>
          <w:jc w:val="center"/>
        </w:trPr>
        <w:tc>
          <w:tcPr>
            <w:tcW w:w="2379" w:type="dxa"/>
            <w:vAlign w:val="center"/>
          </w:tcPr>
          <w:p w:rsidR="00517824" w:rsidRPr="00412936" w:rsidRDefault="00517824" w:rsidP="00517824">
            <w:pPr>
              <w:ind w:left="31"/>
              <w:rPr>
                <w:rFonts w:ascii="Arial" w:hAnsi="Arial" w:cs="Arial"/>
                <w:sz w:val="18"/>
                <w:szCs w:val="18"/>
              </w:rPr>
            </w:pPr>
            <w:r w:rsidRPr="00412936">
              <w:rPr>
                <w:rFonts w:ascii="Arial" w:hAnsi="Arial" w:cs="Arial"/>
                <w:sz w:val="18"/>
                <w:szCs w:val="18"/>
              </w:rPr>
              <w:t>Coste del Mecanismo</w:t>
            </w:r>
          </w:p>
        </w:tc>
        <w:tc>
          <w:tcPr>
            <w:tcW w:w="851" w:type="dxa"/>
            <w:vAlign w:val="center"/>
          </w:tcPr>
          <w:p w:rsidR="00517824" w:rsidRPr="00412936" w:rsidRDefault="00517824" w:rsidP="00517824">
            <w:pPr>
              <w:ind w:left="-83"/>
              <w:jc w:val="right"/>
              <w:rPr>
                <w:rFonts w:ascii="Arial" w:hAnsi="Arial" w:cs="Arial"/>
                <w:sz w:val="18"/>
                <w:szCs w:val="18"/>
              </w:rPr>
            </w:pPr>
          </w:p>
        </w:tc>
        <w:tc>
          <w:tcPr>
            <w:tcW w:w="851" w:type="dxa"/>
            <w:vAlign w:val="center"/>
          </w:tcPr>
          <w:p w:rsidR="00517824" w:rsidRPr="00412936" w:rsidRDefault="003F238A" w:rsidP="000F000A">
            <w:pPr>
              <w:ind w:left="-83"/>
              <w:jc w:val="right"/>
              <w:rPr>
                <w:rFonts w:ascii="Arial" w:hAnsi="Arial" w:cs="Arial"/>
                <w:noProof/>
                <w:sz w:val="18"/>
                <w:szCs w:val="18"/>
              </w:rPr>
            </w:pPr>
            <w:r w:rsidRPr="00412936">
              <w:rPr>
                <w:rFonts w:ascii="Arial" w:hAnsi="Arial" w:cs="Arial"/>
                <w:noProof/>
                <w:sz w:val="18"/>
                <w:szCs w:val="18"/>
              </w:rPr>
              <w:t>350.000</w:t>
            </w:r>
          </w:p>
        </w:tc>
        <w:tc>
          <w:tcPr>
            <w:tcW w:w="851" w:type="dxa"/>
            <w:vAlign w:val="center"/>
          </w:tcPr>
          <w:p w:rsidR="00517824" w:rsidRPr="00412936" w:rsidRDefault="000F000A" w:rsidP="00517824">
            <w:pPr>
              <w:ind w:left="-83"/>
              <w:jc w:val="right"/>
              <w:rPr>
                <w:rFonts w:ascii="Arial" w:hAnsi="Arial" w:cs="Arial"/>
                <w:noProof/>
                <w:sz w:val="18"/>
                <w:szCs w:val="18"/>
              </w:rPr>
            </w:pPr>
            <w:r w:rsidRPr="00412936">
              <w:rPr>
                <w:rFonts w:ascii="Arial" w:hAnsi="Arial" w:cs="Arial"/>
                <w:noProof/>
                <w:sz w:val="18"/>
                <w:szCs w:val="18"/>
              </w:rPr>
              <w:t>350</w:t>
            </w:r>
            <w:r w:rsidR="00DD55CB" w:rsidRPr="00412936">
              <w:rPr>
                <w:rFonts w:ascii="Arial" w:hAnsi="Arial" w:cs="Arial"/>
                <w:noProof/>
                <w:sz w:val="18"/>
                <w:szCs w:val="18"/>
              </w:rPr>
              <w:t>.000</w:t>
            </w:r>
          </w:p>
        </w:tc>
        <w:tc>
          <w:tcPr>
            <w:tcW w:w="851" w:type="dxa"/>
            <w:vAlign w:val="center"/>
          </w:tcPr>
          <w:p w:rsidR="00517824" w:rsidRPr="00412936" w:rsidRDefault="00DD55CB" w:rsidP="00517824">
            <w:pPr>
              <w:ind w:left="-83"/>
              <w:jc w:val="right"/>
              <w:rPr>
                <w:rFonts w:ascii="Arial" w:hAnsi="Arial" w:cs="Arial"/>
                <w:noProof/>
                <w:sz w:val="18"/>
                <w:szCs w:val="18"/>
              </w:rPr>
            </w:pPr>
            <w:r w:rsidRPr="00412936">
              <w:rPr>
                <w:rFonts w:ascii="Arial" w:hAnsi="Arial" w:cs="Arial"/>
                <w:noProof/>
                <w:sz w:val="18"/>
                <w:szCs w:val="18"/>
              </w:rPr>
              <w:t>50.000</w:t>
            </w: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7C5358" w:rsidRDefault="000F000A" w:rsidP="000F000A">
            <w:pPr>
              <w:ind w:left="-83"/>
              <w:jc w:val="right"/>
              <w:rPr>
                <w:rFonts w:ascii="Arial" w:hAnsi="Arial" w:cs="Arial"/>
                <w:b/>
                <w:noProof/>
                <w:sz w:val="18"/>
                <w:szCs w:val="18"/>
              </w:rPr>
            </w:pPr>
            <w:r w:rsidRPr="007C5358">
              <w:rPr>
                <w:rFonts w:ascii="Arial" w:hAnsi="Arial" w:cs="Arial"/>
                <w:b/>
                <w:noProof/>
                <w:sz w:val="18"/>
                <w:szCs w:val="18"/>
              </w:rPr>
              <w:t>75</w:t>
            </w:r>
            <w:r w:rsidR="003F238A" w:rsidRPr="007C5358">
              <w:rPr>
                <w:rFonts w:ascii="Arial" w:hAnsi="Arial" w:cs="Arial"/>
                <w:b/>
                <w:noProof/>
                <w:sz w:val="18"/>
                <w:szCs w:val="18"/>
              </w:rPr>
              <w:t>0.000</w:t>
            </w:r>
          </w:p>
        </w:tc>
      </w:tr>
      <w:tr w:rsidR="00517824" w:rsidRPr="00412936" w:rsidTr="00412936">
        <w:trPr>
          <w:trHeight w:hRule="exact" w:val="340"/>
          <w:jc w:val="center"/>
        </w:trPr>
        <w:tc>
          <w:tcPr>
            <w:tcW w:w="2379" w:type="dxa"/>
            <w:vAlign w:val="center"/>
          </w:tcPr>
          <w:p w:rsidR="00517824" w:rsidRPr="00412936" w:rsidRDefault="00517824" w:rsidP="00517824">
            <w:pPr>
              <w:ind w:left="31"/>
              <w:rPr>
                <w:rFonts w:ascii="Arial" w:hAnsi="Arial" w:cs="Arial"/>
                <w:sz w:val="18"/>
                <w:szCs w:val="18"/>
              </w:rPr>
            </w:pPr>
            <w:r w:rsidRPr="00412936">
              <w:rPr>
                <w:rFonts w:ascii="Arial" w:hAnsi="Arial" w:cs="Arial"/>
                <w:sz w:val="18"/>
                <w:szCs w:val="18"/>
              </w:rPr>
              <w:t>Otra financiación</w:t>
            </w: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412936" w:rsidRDefault="00517824" w:rsidP="00517824">
            <w:pPr>
              <w:ind w:left="-83"/>
              <w:jc w:val="right"/>
              <w:rPr>
                <w:rFonts w:ascii="Arial" w:hAnsi="Arial" w:cs="Arial"/>
                <w:noProof/>
                <w:sz w:val="18"/>
                <w:szCs w:val="18"/>
              </w:rPr>
            </w:pPr>
          </w:p>
        </w:tc>
        <w:tc>
          <w:tcPr>
            <w:tcW w:w="851" w:type="dxa"/>
            <w:vAlign w:val="center"/>
          </w:tcPr>
          <w:p w:rsidR="00517824" w:rsidRPr="007C5358" w:rsidRDefault="00517824" w:rsidP="00517824">
            <w:pPr>
              <w:ind w:left="-83"/>
              <w:jc w:val="right"/>
              <w:rPr>
                <w:rFonts w:ascii="Arial" w:hAnsi="Arial" w:cs="Arial"/>
                <w:b/>
                <w:noProof/>
                <w:sz w:val="18"/>
                <w:szCs w:val="18"/>
              </w:rPr>
            </w:pPr>
          </w:p>
        </w:tc>
      </w:tr>
      <w:tr w:rsidR="00517824" w:rsidRPr="00412936" w:rsidTr="00412936">
        <w:trPr>
          <w:trHeight w:hRule="exact" w:val="340"/>
          <w:jc w:val="center"/>
        </w:trPr>
        <w:tc>
          <w:tcPr>
            <w:tcW w:w="2379" w:type="dxa"/>
            <w:vAlign w:val="center"/>
          </w:tcPr>
          <w:p w:rsidR="00517824" w:rsidRPr="00412936" w:rsidRDefault="00517824" w:rsidP="0031521B">
            <w:pPr>
              <w:ind w:left="31"/>
              <w:rPr>
                <w:rFonts w:ascii="Arial" w:hAnsi="Arial" w:cs="Arial"/>
                <w:b/>
                <w:sz w:val="18"/>
                <w:szCs w:val="18"/>
              </w:rPr>
            </w:pPr>
            <w:r w:rsidRPr="00412936">
              <w:rPr>
                <w:rFonts w:ascii="Arial" w:hAnsi="Arial" w:cs="Arial"/>
                <w:b/>
                <w:sz w:val="18"/>
                <w:szCs w:val="18"/>
              </w:rPr>
              <w:t>Total</w:t>
            </w:r>
            <w:r w:rsidR="005570AD" w:rsidRPr="00412936">
              <w:rPr>
                <w:rFonts w:ascii="Arial" w:hAnsi="Arial" w:cs="Arial"/>
                <w:b/>
                <w:sz w:val="18"/>
                <w:szCs w:val="18"/>
              </w:rPr>
              <w:t xml:space="preserve"> </w:t>
            </w:r>
          </w:p>
        </w:tc>
        <w:tc>
          <w:tcPr>
            <w:tcW w:w="851" w:type="dxa"/>
            <w:vAlign w:val="center"/>
          </w:tcPr>
          <w:p w:rsidR="00517824" w:rsidRPr="007C5358" w:rsidRDefault="00517824" w:rsidP="00517824">
            <w:pPr>
              <w:ind w:left="-83"/>
              <w:jc w:val="right"/>
              <w:rPr>
                <w:rFonts w:ascii="Arial" w:hAnsi="Arial" w:cs="Arial"/>
                <w:b/>
                <w:noProof/>
                <w:sz w:val="18"/>
                <w:szCs w:val="18"/>
              </w:rPr>
            </w:pPr>
          </w:p>
        </w:tc>
        <w:tc>
          <w:tcPr>
            <w:tcW w:w="851" w:type="dxa"/>
            <w:vAlign w:val="center"/>
          </w:tcPr>
          <w:p w:rsidR="00517824" w:rsidRPr="007C5358" w:rsidRDefault="0031521B" w:rsidP="00517824">
            <w:pPr>
              <w:ind w:left="-83"/>
              <w:jc w:val="right"/>
              <w:rPr>
                <w:rFonts w:ascii="Arial" w:hAnsi="Arial" w:cs="Arial"/>
                <w:b/>
                <w:noProof/>
                <w:sz w:val="18"/>
                <w:szCs w:val="18"/>
              </w:rPr>
            </w:pPr>
            <w:r w:rsidRPr="007C5358">
              <w:rPr>
                <w:rFonts w:ascii="Arial" w:hAnsi="Arial" w:cs="Arial"/>
                <w:b/>
                <w:noProof/>
                <w:sz w:val="18"/>
                <w:szCs w:val="18"/>
              </w:rPr>
              <w:t>350.000</w:t>
            </w:r>
          </w:p>
        </w:tc>
        <w:tc>
          <w:tcPr>
            <w:tcW w:w="851" w:type="dxa"/>
            <w:vAlign w:val="center"/>
          </w:tcPr>
          <w:p w:rsidR="00517824" w:rsidRPr="007C5358" w:rsidRDefault="0031521B" w:rsidP="00517824">
            <w:pPr>
              <w:ind w:left="-83"/>
              <w:jc w:val="right"/>
              <w:rPr>
                <w:rFonts w:ascii="Arial" w:hAnsi="Arial" w:cs="Arial"/>
                <w:b/>
                <w:noProof/>
                <w:sz w:val="18"/>
                <w:szCs w:val="18"/>
              </w:rPr>
            </w:pPr>
            <w:r w:rsidRPr="007C5358">
              <w:rPr>
                <w:rFonts w:ascii="Arial" w:hAnsi="Arial" w:cs="Arial"/>
                <w:b/>
                <w:noProof/>
                <w:sz w:val="18"/>
                <w:szCs w:val="18"/>
              </w:rPr>
              <w:t>350.000</w:t>
            </w:r>
          </w:p>
        </w:tc>
        <w:tc>
          <w:tcPr>
            <w:tcW w:w="851" w:type="dxa"/>
            <w:vAlign w:val="center"/>
          </w:tcPr>
          <w:p w:rsidR="00517824" w:rsidRPr="007C5358" w:rsidRDefault="0031521B" w:rsidP="00517824">
            <w:pPr>
              <w:ind w:left="-83"/>
              <w:jc w:val="right"/>
              <w:rPr>
                <w:rFonts w:ascii="Arial" w:hAnsi="Arial" w:cs="Arial"/>
                <w:b/>
                <w:noProof/>
                <w:sz w:val="18"/>
                <w:szCs w:val="18"/>
              </w:rPr>
            </w:pPr>
            <w:r w:rsidRPr="007C5358">
              <w:rPr>
                <w:rFonts w:ascii="Arial" w:hAnsi="Arial" w:cs="Arial"/>
                <w:b/>
                <w:noProof/>
                <w:sz w:val="18"/>
                <w:szCs w:val="18"/>
              </w:rPr>
              <w:t>50.000</w:t>
            </w:r>
          </w:p>
        </w:tc>
        <w:tc>
          <w:tcPr>
            <w:tcW w:w="851" w:type="dxa"/>
            <w:vAlign w:val="center"/>
          </w:tcPr>
          <w:p w:rsidR="00517824" w:rsidRPr="007C5358" w:rsidRDefault="00517824" w:rsidP="00517824">
            <w:pPr>
              <w:ind w:left="-83"/>
              <w:jc w:val="right"/>
              <w:rPr>
                <w:rFonts w:ascii="Arial" w:hAnsi="Arial" w:cs="Arial"/>
                <w:b/>
                <w:noProof/>
                <w:sz w:val="18"/>
                <w:szCs w:val="18"/>
              </w:rPr>
            </w:pPr>
          </w:p>
        </w:tc>
        <w:tc>
          <w:tcPr>
            <w:tcW w:w="851" w:type="dxa"/>
            <w:vAlign w:val="center"/>
          </w:tcPr>
          <w:p w:rsidR="00517824" w:rsidRPr="007C5358" w:rsidRDefault="00517824" w:rsidP="00517824">
            <w:pPr>
              <w:ind w:left="-83"/>
              <w:jc w:val="right"/>
              <w:rPr>
                <w:rFonts w:ascii="Arial" w:hAnsi="Arial" w:cs="Arial"/>
                <w:b/>
                <w:noProof/>
                <w:sz w:val="18"/>
                <w:szCs w:val="18"/>
              </w:rPr>
            </w:pPr>
          </w:p>
        </w:tc>
        <w:tc>
          <w:tcPr>
            <w:tcW w:w="851" w:type="dxa"/>
            <w:vAlign w:val="center"/>
          </w:tcPr>
          <w:p w:rsidR="00517824" w:rsidRPr="007C5358" w:rsidRDefault="00517824" w:rsidP="00517824">
            <w:pPr>
              <w:ind w:left="-83"/>
              <w:jc w:val="right"/>
              <w:rPr>
                <w:rFonts w:ascii="Arial" w:hAnsi="Arial" w:cs="Arial"/>
                <w:b/>
                <w:noProof/>
                <w:sz w:val="18"/>
                <w:szCs w:val="18"/>
              </w:rPr>
            </w:pPr>
          </w:p>
        </w:tc>
        <w:tc>
          <w:tcPr>
            <w:tcW w:w="851" w:type="dxa"/>
            <w:vAlign w:val="center"/>
          </w:tcPr>
          <w:p w:rsidR="00517824" w:rsidRPr="007C5358" w:rsidRDefault="0031521B" w:rsidP="00517824">
            <w:pPr>
              <w:ind w:left="-83"/>
              <w:jc w:val="right"/>
              <w:rPr>
                <w:rFonts w:ascii="Arial" w:hAnsi="Arial" w:cs="Arial"/>
                <w:b/>
                <w:noProof/>
                <w:sz w:val="18"/>
                <w:szCs w:val="18"/>
              </w:rPr>
            </w:pPr>
            <w:r w:rsidRPr="007C5358">
              <w:rPr>
                <w:rFonts w:ascii="Arial" w:hAnsi="Arial" w:cs="Arial"/>
                <w:b/>
                <w:noProof/>
                <w:sz w:val="18"/>
                <w:szCs w:val="18"/>
              </w:rPr>
              <w:t>750.000</w:t>
            </w:r>
          </w:p>
        </w:tc>
      </w:tr>
    </w:tbl>
    <w:p w:rsidR="00517824" w:rsidRPr="00517824" w:rsidRDefault="00517824" w:rsidP="00412936">
      <w:pPr>
        <w:spacing w:before="240" w:after="120" w:line="360" w:lineRule="auto"/>
        <w:rPr>
          <w:rFonts w:ascii="Arial" w:hAnsi="Arial" w:cs="Arial"/>
          <w:b/>
          <w:sz w:val="22"/>
          <w:szCs w:val="22"/>
        </w:rPr>
      </w:pPr>
      <w:r w:rsidRPr="00517824">
        <w:rPr>
          <w:rFonts w:ascii="Arial" w:hAnsi="Arial" w:cs="Arial"/>
          <w:b/>
          <w:sz w:val="22"/>
          <w:szCs w:val="22"/>
        </w:rPr>
        <w:t>6.</w:t>
      </w:r>
      <w:r w:rsidR="002E21DD" w:rsidRPr="00517824">
        <w:rPr>
          <w:rFonts w:ascii="Arial" w:hAnsi="Arial" w:cs="Arial"/>
          <w:b/>
          <w:sz w:val="22"/>
          <w:szCs w:val="22"/>
        </w:rPr>
        <w:t xml:space="preserve"> HITOS Y OBJETIVOS DE LA INVERSIÓN </w:t>
      </w:r>
    </w:p>
    <w:p w:rsidR="008620A4" w:rsidRDefault="003F238A" w:rsidP="00412936">
      <w:pPr>
        <w:spacing w:before="120" w:after="120" w:line="360" w:lineRule="auto"/>
        <w:ind w:firstLine="708"/>
        <w:jc w:val="both"/>
        <w:rPr>
          <w:rFonts w:ascii="Arial" w:hAnsi="Arial" w:cs="Arial"/>
          <w:sz w:val="22"/>
          <w:szCs w:val="22"/>
        </w:rPr>
      </w:pPr>
      <w:r w:rsidRPr="003F238A">
        <w:rPr>
          <w:rFonts w:ascii="Arial" w:hAnsi="Arial" w:cs="Arial"/>
          <w:sz w:val="22"/>
          <w:szCs w:val="22"/>
        </w:rPr>
        <w:t xml:space="preserve">Se plantean </w:t>
      </w:r>
      <w:r>
        <w:rPr>
          <w:rFonts w:ascii="Arial" w:hAnsi="Arial" w:cs="Arial"/>
          <w:sz w:val="22"/>
          <w:szCs w:val="22"/>
        </w:rPr>
        <w:t>como actuaciones la r</w:t>
      </w:r>
      <w:r w:rsidRPr="003F238A">
        <w:rPr>
          <w:rFonts w:ascii="Arial" w:hAnsi="Arial" w:cs="Arial"/>
          <w:sz w:val="22"/>
          <w:szCs w:val="22"/>
        </w:rPr>
        <w:t>ehabilitación energética de edificios de viviendas y otros usos</w:t>
      </w:r>
      <w:r>
        <w:rPr>
          <w:rFonts w:ascii="Arial" w:hAnsi="Arial" w:cs="Arial"/>
          <w:sz w:val="22"/>
          <w:szCs w:val="22"/>
        </w:rPr>
        <w:t xml:space="preserve"> m</w:t>
      </w:r>
      <w:r w:rsidRPr="003F238A">
        <w:rPr>
          <w:rFonts w:ascii="Arial" w:hAnsi="Arial" w:cs="Arial"/>
          <w:sz w:val="22"/>
          <w:szCs w:val="22"/>
        </w:rPr>
        <w:t>ediante actuaciones de ahorro y eficiencia energética e incorporación de energías renovables, que reduzcan el consumo de energía final y las emisiones de dióxido de carbono. Esta actuación se corresponde con el “</w:t>
      </w:r>
      <w:proofErr w:type="spellStart"/>
      <w:r w:rsidRPr="003F238A">
        <w:rPr>
          <w:rFonts w:ascii="Arial" w:hAnsi="Arial" w:cs="Arial"/>
          <w:sz w:val="22"/>
          <w:szCs w:val="22"/>
        </w:rPr>
        <w:t>flagship</w:t>
      </w:r>
      <w:proofErr w:type="spellEnd"/>
      <w:r w:rsidRPr="003F238A">
        <w:rPr>
          <w:rFonts w:ascii="Arial" w:hAnsi="Arial" w:cs="Arial"/>
          <w:sz w:val="22"/>
          <w:szCs w:val="22"/>
        </w:rPr>
        <w:t xml:space="preserve">” o iniciativa bandera número 2 </w:t>
      </w:r>
      <w:r w:rsidRPr="003F238A">
        <w:rPr>
          <w:rFonts w:ascii="Arial" w:hAnsi="Arial" w:cs="Arial"/>
          <w:sz w:val="22"/>
          <w:szCs w:val="22"/>
        </w:rPr>
        <w:lastRenderedPageBreak/>
        <w:t>identificada en el Marco de Recuperación y Resiliencia, relacionada con la renovación energética del parque edificado.  Se incluyen en este bloque medidas dirigidas a municipios poco poblados, en el ámbito de la sinergia entre la transición energética y el reto demográfico.</w:t>
      </w:r>
    </w:p>
    <w:sectPr w:rsidR="008620A4" w:rsidSect="00412936">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4C11B63"/>
    <w:multiLevelType w:val="hybridMultilevel"/>
    <w:tmpl w:val="ABF082FA"/>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A156E09"/>
    <w:multiLevelType w:val="hybridMultilevel"/>
    <w:tmpl w:val="1AA6C46C"/>
    <w:lvl w:ilvl="0" w:tplc="3C62EF12">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0C04A0"/>
    <w:multiLevelType w:val="hybridMultilevel"/>
    <w:tmpl w:val="1F14AE22"/>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89779FD"/>
    <w:multiLevelType w:val="hybridMultilevel"/>
    <w:tmpl w:val="63FAC3CC"/>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0C9300A"/>
    <w:multiLevelType w:val="hybridMultilevel"/>
    <w:tmpl w:val="76CE4A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1"/>
  </w:num>
  <w:num w:numId="5">
    <w:abstractNumId w:val="7"/>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41367"/>
    <w:rsid w:val="00062AE0"/>
    <w:rsid w:val="00080CFF"/>
    <w:rsid w:val="00092A6A"/>
    <w:rsid w:val="000A1311"/>
    <w:rsid w:val="000C68A4"/>
    <w:rsid w:val="000F000A"/>
    <w:rsid w:val="000F3FBB"/>
    <w:rsid w:val="001A5F87"/>
    <w:rsid w:val="001B34B9"/>
    <w:rsid w:val="002C13E7"/>
    <w:rsid w:val="002E21DD"/>
    <w:rsid w:val="002F0C59"/>
    <w:rsid w:val="0031521B"/>
    <w:rsid w:val="003154A2"/>
    <w:rsid w:val="003208C4"/>
    <w:rsid w:val="00343745"/>
    <w:rsid w:val="00382F6E"/>
    <w:rsid w:val="003A7E9B"/>
    <w:rsid w:val="003D56D8"/>
    <w:rsid w:val="003F238A"/>
    <w:rsid w:val="00412936"/>
    <w:rsid w:val="0046397C"/>
    <w:rsid w:val="00517824"/>
    <w:rsid w:val="005570AD"/>
    <w:rsid w:val="00564761"/>
    <w:rsid w:val="005B477A"/>
    <w:rsid w:val="005C4BF4"/>
    <w:rsid w:val="00646918"/>
    <w:rsid w:val="006953B7"/>
    <w:rsid w:val="006A7B90"/>
    <w:rsid w:val="006C54B9"/>
    <w:rsid w:val="006F018F"/>
    <w:rsid w:val="0070353F"/>
    <w:rsid w:val="007B6373"/>
    <w:rsid w:val="007C5358"/>
    <w:rsid w:val="007E37FC"/>
    <w:rsid w:val="007F3B1F"/>
    <w:rsid w:val="008076C5"/>
    <w:rsid w:val="0081752E"/>
    <w:rsid w:val="008476C0"/>
    <w:rsid w:val="008620A4"/>
    <w:rsid w:val="008B3CA0"/>
    <w:rsid w:val="008B6C42"/>
    <w:rsid w:val="008D6462"/>
    <w:rsid w:val="008F0C79"/>
    <w:rsid w:val="0093453B"/>
    <w:rsid w:val="009505E7"/>
    <w:rsid w:val="00952F88"/>
    <w:rsid w:val="00991697"/>
    <w:rsid w:val="009A64D7"/>
    <w:rsid w:val="009A7074"/>
    <w:rsid w:val="009D1A40"/>
    <w:rsid w:val="00A06941"/>
    <w:rsid w:val="00A25916"/>
    <w:rsid w:val="00A32DF7"/>
    <w:rsid w:val="00A44DEA"/>
    <w:rsid w:val="00A9503D"/>
    <w:rsid w:val="00AE318F"/>
    <w:rsid w:val="00B30BB6"/>
    <w:rsid w:val="00B6769D"/>
    <w:rsid w:val="00B80D92"/>
    <w:rsid w:val="00B96700"/>
    <w:rsid w:val="00BB64BC"/>
    <w:rsid w:val="00BE5B5A"/>
    <w:rsid w:val="00C53DF1"/>
    <w:rsid w:val="00C87CB2"/>
    <w:rsid w:val="00CA36F1"/>
    <w:rsid w:val="00CA5DBC"/>
    <w:rsid w:val="00CB75ED"/>
    <w:rsid w:val="00D46D8D"/>
    <w:rsid w:val="00DD55CB"/>
    <w:rsid w:val="00E16ACA"/>
    <w:rsid w:val="00ED092E"/>
    <w:rsid w:val="00EF19E2"/>
    <w:rsid w:val="00F461E1"/>
    <w:rsid w:val="00F77318"/>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C1A50"/>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B740-F1BC-4F93-8073-5EB51ECA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734</Words>
  <Characters>4248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Diaz Martinez, Ruben</cp:lastModifiedBy>
  <cp:revision>17</cp:revision>
  <cp:lastPrinted>2021-06-09T11:44:00Z</cp:lastPrinted>
  <dcterms:created xsi:type="dcterms:W3CDTF">2021-09-14T13:48:00Z</dcterms:created>
  <dcterms:modified xsi:type="dcterms:W3CDTF">2022-01-19T12:54:00Z</dcterms:modified>
</cp:coreProperties>
</file>